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FFAD" w14:textId="77777777" w:rsidR="00E17AD3" w:rsidRDefault="009B607B">
      <w:pPr>
        <w:pStyle w:val="Heading1"/>
      </w:pPr>
      <w:r>
        <w:t>Adaptive design with sample size re-estimation</w:t>
      </w:r>
    </w:p>
    <w:p w14:paraId="31705C33" w14:textId="77777777" w:rsidR="00E17AD3" w:rsidRDefault="009B607B">
      <w:pPr>
        <w:pStyle w:val="Heading2"/>
      </w:pPr>
      <w:bookmarkStart w:id="0" w:name="_GoBack"/>
      <w:bookmarkEnd w:id="0"/>
      <w:r>
        <w:t>Description</w:t>
      </w:r>
    </w:p>
    <w:p w14:paraId="3E8DEDE3" w14:textId="77777777" w:rsidR="00E17AD3" w:rsidRDefault="009B607B">
      <w:pPr>
        <w:pStyle w:val="NoSpacing"/>
      </w:pPr>
      <w:r>
        <w:t>The simulation report presents key operating characteristics of an adaptive design for a two-arm Phase III clinical trial with two interim analyses. The first interim analysis supports early stopping for futility and the second interim analysis supports an</w:t>
      </w:r>
      <w:r>
        <w:t xml:space="preserve"> option to increase the sample size in the trial.</w:t>
      </w:r>
    </w:p>
    <w:p w14:paraId="65EC03BD" w14:textId="77777777" w:rsidR="00E17AD3" w:rsidRDefault="009B607B">
      <w:pPr>
        <w:pStyle w:val="Heading2"/>
      </w:pPr>
      <w:r>
        <w:t>Table 1. Number of enrolled patients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E17AD3" w14:paraId="4DC401C8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678B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F8F8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E17AD3" w14:paraId="4BC82881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3EA1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92A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  <w:tr w:rsidR="00E17AD3" w14:paraId="468CFCAE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AA0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1EEB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</w:tr>
    </w:tbl>
    <w:p w14:paraId="29C67ADA" w14:textId="77777777" w:rsidR="00E17AD3" w:rsidRDefault="009B607B">
      <w:pPr>
        <w:pStyle w:val="Heading2"/>
      </w:pPr>
      <w:r>
        <w:t>Table 2. Primary efficacy endpoint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E17AD3" w14:paraId="667E45B8" w14:textId="77777777">
        <w:trPr>
          <w:cantSplit/>
          <w:trHeight w:val="360"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B64B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1E76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E17AD3" w14:paraId="4C426E39" w14:textId="77777777">
        <w:trPr>
          <w:cantSplit/>
          <w:trHeight w:val="360"/>
          <w:jc w:val="center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8E2C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Endpoint type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D7CC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Normal</w:t>
            </w:r>
          </w:p>
        </w:tc>
      </w:tr>
      <w:tr w:rsidR="00E17AD3" w14:paraId="2AD1536F" w14:textId="77777777">
        <w:trPr>
          <w:cantSplit/>
          <w:trHeight w:val="360"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54A1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Direction of favorable outcome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68C0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 lower value of the endpoint indicates a more favorable outcome</w:t>
            </w:r>
          </w:p>
        </w:tc>
      </w:tr>
    </w:tbl>
    <w:p w14:paraId="3B7AA051" w14:textId="77777777" w:rsidR="00E17AD3" w:rsidRDefault="009B607B">
      <w:pPr>
        <w:pStyle w:val="Heading2"/>
      </w:pPr>
      <w:r>
        <w:t>Table 3. Treatment effect assumptions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E17AD3" w14:paraId="757971F6" w14:textId="77777777">
        <w:trPr>
          <w:cantSplit/>
          <w:trHeight w:val="360"/>
          <w:tblHeader/>
          <w:jc w:val="center"/>
        </w:trPr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18D7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F301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53B7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E17AD3" w14:paraId="01A6B586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EC71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917B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DAC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-15</w:t>
            </w:r>
          </w:p>
        </w:tc>
      </w:tr>
      <w:tr w:rsidR="00E17AD3" w14:paraId="1B64E86B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961D" w14:textId="77777777" w:rsidR="00E17AD3" w:rsidRDefault="00E17AD3">
            <w:pPr>
              <w:spacing w:before="0" w:after="0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DED5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5FF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</w:tr>
      <w:tr w:rsidR="00E17AD3" w14:paraId="5C7723E2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083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1547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2E12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-22.5</w:t>
            </w:r>
          </w:p>
        </w:tc>
      </w:tr>
      <w:tr w:rsidR="00E17AD3" w14:paraId="24501FB6" w14:textId="77777777">
        <w:trPr>
          <w:cantSplit/>
          <w:trHeight w:val="360"/>
          <w:jc w:val="center"/>
        </w:trPr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698B" w14:textId="77777777" w:rsidR="00E17AD3" w:rsidRDefault="00E17AD3">
            <w:pPr>
              <w:spacing w:before="0" w:after="0"/>
            </w:pP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EE89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CCF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30DD45E3" w14:textId="77777777" w:rsidR="00E17AD3" w:rsidRDefault="009B607B">
      <w:pPr>
        <w:pStyle w:val="Heading2"/>
      </w:pPr>
      <w:r>
        <w:t>Table 4. Number of patients at the interim and final analyses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2880"/>
      </w:tblGrid>
      <w:tr w:rsidR="00E17AD3" w14:paraId="5D3C408C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D4DB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Decision point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A2A9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Total number of patients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03B6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Information fraction (%)</w:t>
            </w:r>
          </w:p>
        </w:tc>
      </w:tr>
      <w:tr w:rsidR="00E17AD3" w14:paraId="1A284EE6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161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Interim analysis 1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863D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D06B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E17AD3" w14:paraId="22EF0D0E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7F9C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Interim analysis 2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440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E83B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E17AD3" w14:paraId="7D571442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A1F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Final analysis (before sample size re-estimation)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25F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7F7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E17AD3" w14:paraId="28586802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221D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Final analysis (after sample size re-estimation)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6901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Up to 416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4D97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130</w:t>
            </w:r>
          </w:p>
        </w:tc>
      </w:tr>
    </w:tbl>
    <w:p w14:paraId="629AD982" w14:textId="77777777" w:rsidR="00E17AD3" w:rsidRDefault="009B607B">
      <w:r>
        <w:t>The number of patients at the interim and final analyses may be reduced due to patient dropout.</w:t>
      </w:r>
    </w:p>
    <w:p w14:paraId="699746B0" w14:textId="77777777" w:rsidR="00E17AD3" w:rsidRDefault="009B607B">
      <w:pPr>
        <w:pStyle w:val="Heading2"/>
      </w:pPr>
      <w:r>
        <w:t>Table 5. Decision rule at Interim analysis 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E17AD3" w14:paraId="62E10376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AE71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2375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PPS (%)</w:t>
            </w:r>
          </w:p>
        </w:tc>
      </w:tr>
      <w:tr w:rsidR="00E17AD3" w14:paraId="60DBFF2F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EBC67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Futility threshold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A2E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72D99FAA" w14:textId="77777777" w:rsidR="00E17AD3" w:rsidRDefault="009B607B">
      <w:r>
        <w:t>PPS: Predicted probability of success at Interim analysis 1. The trial will be stopped for futility at Interim analysis 1 if the predicted probability of success is less than the futility threshold.</w:t>
      </w:r>
    </w:p>
    <w:p w14:paraId="21CF3026" w14:textId="77777777" w:rsidR="00E17AD3" w:rsidRDefault="009B607B">
      <w:pPr>
        <w:pStyle w:val="Heading2"/>
      </w:pPr>
      <w:r>
        <w:t>Table 6. Decision rules at Interim analysis 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E17AD3" w14:paraId="79A209BB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F128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4CB9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PS (%)</w:t>
            </w:r>
          </w:p>
        </w:tc>
      </w:tr>
      <w:tr w:rsidR="00E17AD3" w14:paraId="5AFEDA06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3170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 (lower limit)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72D2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E17AD3" w14:paraId="5F44B126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FC0E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 (upper limit)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AA29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E17AD3" w14:paraId="660AB518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D8DE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Target probability of success at Final analysis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A33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</w:tbl>
    <w:p w14:paraId="43D24F6E" w14:textId="77777777" w:rsidR="00E17AD3" w:rsidRDefault="009B607B">
      <w:r>
        <w:t>PPS: Predicted probability of success at Interim analysis 2. The sample size will be increased after Interim analysis 2 to achieve the target probability of success at Final analysis if the predicted probability of success lies within the promising interva</w:t>
      </w:r>
      <w:r>
        <w:t>l.</w:t>
      </w:r>
    </w:p>
    <w:p w14:paraId="763E1682" w14:textId="77777777" w:rsidR="00E17AD3" w:rsidRDefault="009B607B">
      <w:pPr>
        <w:pStyle w:val="Heading2"/>
      </w:pPr>
      <w:r>
        <w:t>Table 7. Other design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E17AD3" w14:paraId="54CAC494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7A7A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80E5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E17AD3" w14:paraId="0FFFA7E8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577B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Dropout rate at the end of the treatment period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CAD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</w:tbl>
    <w:p w14:paraId="5DD9200F" w14:textId="77777777" w:rsidR="00E17AD3" w:rsidRDefault="009B607B">
      <w:pPr>
        <w:pStyle w:val="Heading2"/>
      </w:pPr>
      <w:r>
        <w:t>Table 8. Simulation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E17AD3" w14:paraId="15BD322B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C2CD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2D22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E17AD3" w14:paraId="1D7057D6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53AC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9BDD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0.025</w:t>
            </w:r>
          </w:p>
        </w:tc>
      </w:tr>
      <w:tr w:rsidR="00E17AD3" w14:paraId="1FC97C72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6B74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429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0FB7DB1D" w14:textId="77777777" w:rsidR="00E17AD3" w:rsidRDefault="009B607B">
      <w:r>
        <w:br w:type="page"/>
      </w:r>
    </w:p>
    <w:p w14:paraId="1B5D95C5" w14:textId="77777777" w:rsidR="00E17AD3" w:rsidRDefault="009B607B">
      <w:pPr>
        <w:pStyle w:val="Heading2"/>
      </w:pPr>
      <w:r>
        <w:lastRenderedPageBreak/>
        <w:t>Table 9. Simulation results: Outcome probabilities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E17AD3" w14:paraId="00B6AC8B" w14:textId="77777777">
        <w:trPr>
          <w:cantSplit/>
          <w:trHeight w:val="360"/>
          <w:tblHeader/>
          <w:jc w:val="center"/>
        </w:trPr>
        <w:tc>
          <w:tcPr>
            <w:tcW w:w="79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5CD0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4E1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E17AD3" w14:paraId="1C5ED65D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0D42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Probability of stopping for futility at Interim analysis 1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A91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15.9</w:t>
            </w:r>
          </w:p>
        </w:tc>
      </w:tr>
      <w:tr w:rsidR="00E17AD3" w14:paraId="2687263A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5CB0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Probability of increasing the sample size at Interim analysis 2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C0E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18.3</w:t>
            </w:r>
          </w:p>
        </w:tc>
      </w:tr>
      <w:tr w:rsidR="00E17AD3" w14:paraId="438592F1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3D6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design: Power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C3C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69.9</w:t>
            </w:r>
          </w:p>
        </w:tc>
      </w:tr>
      <w:tr w:rsidR="00E17AD3" w14:paraId="5CDF4256" w14:textId="77777777">
        <w:trPr>
          <w:cantSplit/>
          <w:trHeight w:val="360"/>
          <w:jc w:val="center"/>
        </w:trPr>
        <w:tc>
          <w:tcPr>
            <w:tcW w:w="792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05BC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design: Power (%)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EEF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71.7</w:t>
            </w:r>
          </w:p>
        </w:tc>
      </w:tr>
    </w:tbl>
    <w:p w14:paraId="7C00B774" w14:textId="77777777" w:rsidR="00E17AD3" w:rsidRDefault="009B607B">
      <w:pPr>
        <w:pStyle w:val="Heading2"/>
      </w:pPr>
      <w:r>
        <w:t>Table 10. Simulation results: Comparison of traditional and adaptive designs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2160"/>
      </w:tblGrid>
      <w:tr w:rsidR="00E17AD3" w14:paraId="1B1DD895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D1A7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DEE3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A7E5" w14:textId="77777777" w:rsidR="00E17AD3" w:rsidRDefault="009B607B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E17AD3" w14:paraId="2B29DDC7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7E2E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Unfavorable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9171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50A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20.1</w:t>
            </w:r>
          </w:p>
        </w:tc>
      </w:tr>
      <w:tr w:rsidR="00E17AD3" w14:paraId="4583B2F8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DD3C" w14:textId="77777777" w:rsidR="00E17AD3" w:rsidRDefault="00E17AD3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F44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2B74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20.1</w:t>
            </w:r>
          </w:p>
        </w:tc>
      </w:tr>
      <w:tr w:rsidR="00E17AD3" w14:paraId="7F73D392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A5E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E956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4E3A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81</w:t>
            </w:r>
          </w:p>
        </w:tc>
      </w:tr>
      <w:tr w:rsidR="00E17AD3" w14:paraId="1B36EC3E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7357" w14:textId="77777777" w:rsidR="00E17AD3" w:rsidRDefault="00E17AD3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8848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E40F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91.1</w:t>
            </w:r>
          </w:p>
        </w:tc>
      </w:tr>
      <w:tr w:rsidR="00E17AD3" w14:paraId="531906F2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C35E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Favorable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B382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4B35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97.8</w:t>
            </w:r>
          </w:p>
        </w:tc>
      </w:tr>
      <w:tr w:rsidR="00E17AD3" w14:paraId="0371F5E0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51D4" w14:textId="77777777" w:rsidR="00E17AD3" w:rsidRDefault="00E17AD3">
            <w:pPr>
              <w:spacing w:before="0" w:after="0"/>
            </w:pP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D24E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058D" w14:textId="77777777" w:rsidR="00E17AD3" w:rsidRDefault="009B607B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97.8</w:t>
            </w:r>
          </w:p>
        </w:tc>
      </w:tr>
    </w:tbl>
    <w:p w14:paraId="45F24B65" w14:textId="77777777" w:rsidR="00E17AD3" w:rsidRDefault="009B607B">
      <w:r>
        <w:t>Unfavorable interval: Predicted probability of success at Interim analysis 2 (PPS) is less than 50% (original sample size is retained). Promising interval: PPS is between 50% and 90% (sample size is increased). Favorable interval: PPS is greater than 90% (</w:t>
      </w:r>
      <w:r>
        <w:t>original sample size is retained).</w:t>
      </w:r>
    </w:p>
    <w:sectPr w:rsidR="00E17AD3" w:rsidSect="00C2313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478CB" w14:textId="77777777" w:rsidR="003D0B8A" w:rsidRDefault="003D0B8A" w:rsidP="00992B44">
      <w:pPr>
        <w:spacing w:after="0" w:line="240" w:lineRule="auto"/>
      </w:pPr>
      <w:r>
        <w:separator/>
      </w:r>
    </w:p>
  </w:endnote>
  <w:endnote w:type="continuationSeparator" w:id="0">
    <w:p w14:paraId="6A8701F7" w14:textId="77777777" w:rsidR="003D0B8A" w:rsidRDefault="003D0B8A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6149360"/>
      <w:docPartObj>
        <w:docPartGallery w:val="Page Numbers (Bottom of Page)"/>
        <w:docPartUnique/>
      </w:docPartObj>
    </w:sdtPr>
    <w:sdtEndPr/>
    <w:sdtContent>
      <w:p w14:paraId="75629B53" w14:textId="77777777" w:rsidR="003D0B8A" w:rsidRDefault="009B607B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5F92721E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1" o:spid="_x0000_s2049" type="#_x0000_t202" style="position:absolute;margin-left:0;margin-top:0;width:50pt;height:50pt;z-index:251657216;visibility:hidden;mso-position-horizontal-relative:text;mso-position-vertical-relative:text">
              <o:lock v:ext="edit" selection="t"/>
            </v:shape>
          </w:pict>
        </w:r>
        <w:r>
          <w:rPr>
            <w:noProof/>
          </w:rPr>
          <w:pict w14:anchorId="1030E223">
            <v:shape id="2" o:spid="_x0000_s2048" type="#_x0000_t202" style="position:absolute;margin-left:0;margin-top:9.5pt;width:108pt;height:27pt;z-index:251658240;mso-position-horizontal-relative:text;mso-position-vertical-relative:text" filled="f" stroked="f">
              <v:fill o:detectmouseclick="t"/>
              <v:textbox inset="0,0,,7.2pt">
                <w:txbxContent>
                  <w:p w14:paraId="3E600825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3DDDD59C" wp14:editId="02588BC8">
                          <wp:extent cx="731520" cy="179081"/>
                          <wp:effectExtent l="0" t="0" r="0" b="0"/>
                          <wp:docPr id="3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>
          <w:rPr>
            <w:noProof/>
          </w:rPr>
          <w:t>3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62EDB084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444B" w14:textId="77777777" w:rsidR="003D0B8A" w:rsidRDefault="003D0B8A" w:rsidP="00992B44">
      <w:pPr>
        <w:spacing w:after="0" w:line="240" w:lineRule="auto"/>
      </w:pPr>
      <w:r>
        <w:separator/>
      </w:r>
    </w:p>
  </w:footnote>
  <w:footnote w:type="continuationSeparator" w:id="0">
    <w:p w14:paraId="393817F0" w14:textId="77777777" w:rsidR="003D0B8A" w:rsidRDefault="003D0B8A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B607B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17AD3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BA2F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A39D-8BBA-7F48-9805-B077548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2973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design with sample size re-estimation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2021-06-19T20:13:00Z</dcterms:modified>
  <cp:category/>
</cp:coreProperties>
</file>